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8640" w:type="dxa"/>
        <w:jc w:val="center"/>
        <w:tblBorders>
          <w:top w:val="thickThinSmallGap" w:color="404040" w:sz="24" w:space="0"/>
          <w:left w:val="thickThinSmallGap" w:color="404040" w:sz="24" w:space="0"/>
          <w:bottom w:val="thinThickSmallGap" w:color="404040" w:sz="24" w:space="0"/>
          <w:right w:val="thinThickSmallGap" w:color="404040" w:sz="24" w:space="0"/>
          <w:insideH w:val="single" w:color="808080" w:sz="8" w:space="0"/>
          <w:insideV w:val="single" w:color="80808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394"/>
        <w:gridCol w:w="2880"/>
        <w:gridCol w:w="262"/>
        <w:gridCol w:w="2618"/>
      </w:tblGrid>
      <w:tr>
        <w:trPr>
          <w:trHeight w:val="1047" w:hRule="atLeast"/>
          <w:jc w:val="center"/>
        </w:trPr>
        <w:tc>
          <w:tcPr>
            <w:tcW w:w="6022" w:type="dxa"/>
            <w:gridSpan w:val="4"/>
            <w:tcBorders>
              <w:top w:val="thickThinSmallGap" w:color="404040" w:sz="24" w:space="0"/>
              <w:bottom w:val="single" w:color="808080" w:sz="12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Xx公司</w:t>
            </w:r>
          </w:p>
        </w:tc>
        <w:tc>
          <w:tcPr>
            <w:tcW w:w="2618" w:type="dxa"/>
            <w:tcBorders>
              <w:top w:val="thickThinSmallGap" w:color="404040" w:sz="24" w:space="0"/>
              <w:left w:val="single" w:color="808080" w:sz="12" w:space="0"/>
              <w:bottom w:val="single" w:color="808080" w:sz="12" w:space="0"/>
            </w:tcBorders>
            <w:noWrap w:val="0"/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rPr>
          <w:trHeight w:val="600" w:hRule="atLeast"/>
          <w:jc w:val="center"/>
        </w:trPr>
        <w:tc>
          <w:tcPr>
            <w:tcW w:w="1486" w:type="dxa"/>
            <w:tcBorders>
              <w:top w:val="single" w:color="808080" w:sz="12" w:space="0"/>
              <w:bottom w:val="thinThickSmallGap" w:color="404040" w:sz="24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w:t>文档编</w:t>
            </w:r>
            <w:r>
              <w:rPr>
                <w:rFonts w:hint="eastAsia"/>
                <w:sz w:val="24"/>
              </w:rPr>
              <w:t>号</w:t>
            </w:r>
            <w:r>
              <w:rPr>
                <w:sz w:val="24"/>
              </w:rPr>
              <w:t>:</w:t>
            </w:r>
          </w:p>
        </w:tc>
        <w:tc>
          <w:tcPr>
            <w:tcW w:w="7154" w:type="dxa"/>
            <w:gridSpan w:val="4"/>
            <w:tcBorders>
              <w:top w:val="single" w:color="808080" w:sz="12" w:space="0"/>
              <w:left w:val="single" w:color="808080" w:sz="12" w:space="0"/>
              <w:bottom w:val="thinThickSmallGap" w:color="404040" w:sz="24" w:space="0"/>
            </w:tcBorders>
            <w:noWrap w:val="0"/>
            <w:vAlign w:val="center"/>
          </w:tcPr>
          <w:p>
            <w:pPr>
              <w:ind w:left="176"/>
              <w:rPr>
                <w:sz w:val="24"/>
                <w:lang w:val="de-DE"/>
              </w:rPr>
            </w:pPr>
            <w:r>
              <w:rPr>
                <w:rFonts w:hint="eastAsia"/>
                <w:sz w:val="24"/>
                <w:lang w:val="en-US" w:eastAsia="zh-CN"/>
              </w:rPr>
              <w:t>SHTELECOM</w:t>
            </w:r>
            <w:r>
              <w:rPr>
                <w:sz w:val="24"/>
                <w:lang w:val="fr-FR"/>
              </w:rPr>
              <w:t>-</w:t>
            </w:r>
            <w:r>
              <w:rPr>
                <w:rFonts w:hint="eastAsia"/>
                <w:sz w:val="24"/>
                <w:lang w:val="en-US" w:eastAsia="zh-CN"/>
              </w:rPr>
              <w:t>SHENTONG</w:t>
            </w:r>
            <w:r>
              <w:rPr>
                <w:sz w:val="24"/>
                <w:lang w:val="fr-FR"/>
              </w:rPr>
              <w:t>-</w:t>
            </w:r>
            <w:r>
              <w:rPr>
                <w:rFonts w:hint="eastAsia"/>
                <w:sz w:val="24"/>
                <w:lang w:val="en-US" w:eastAsia="zh-CN"/>
              </w:rPr>
              <w:t>INDOOR</w:t>
            </w:r>
            <w:r>
              <w:rPr>
                <w:sz w:val="24"/>
                <w:lang w:val="de-DE"/>
              </w:rPr>
              <w:t>-</w:t>
            </w:r>
            <w:r>
              <w:rPr>
                <w:rFonts w:hint="eastAsia"/>
                <w:sz w:val="24"/>
                <w:lang w:val="en-US" w:eastAsia="zh-CN"/>
              </w:rPr>
              <w:t>LOCATION</w:t>
            </w:r>
            <w:r>
              <w:rPr>
                <w:sz w:val="24"/>
                <w:lang w:val="de-DE"/>
              </w:rPr>
              <w:t>-</w:t>
            </w:r>
          </w:p>
        </w:tc>
      </w:tr>
      <w:tr>
        <w:trPr>
          <w:trHeight w:val="9457" w:hRule="atLeast"/>
          <w:jc w:val="center"/>
        </w:trPr>
        <w:tc>
          <w:tcPr>
            <w:tcW w:w="8640" w:type="dxa"/>
            <w:gridSpan w:val="5"/>
            <w:tcBorders>
              <w:top w:val="thinThickSmallGap" w:color="404040" w:sz="24" w:space="0"/>
              <w:bottom w:val="thickThinSmallGap" w:color="404040" w:sz="24" w:space="0"/>
            </w:tcBorders>
            <w:noWrap w:val="0"/>
            <w:vAlign w:val="top"/>
          </w:tcPr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jc w:val="center"/>
              <w:rPr>
                <w:rFonts w:hint="default" w:ascii="黑体" w:hAnsi="Arial" w:eastAsia="黑体" w:cs="Arial"/>
                <w:b/>
                <w:sz w:val="72"/>
                <w:szCs w:val="72"/>
                <w:lang w:val="en-US" w:eastAsia="zh-CN"/>
              </w:rPr>
            </w:pPr>
            <w:r>
              <w:rPr>
                <w:rFonts w:hint="eastAsia" w:ascii="黑体" w:hAnsi="Arial" w:eastAsia="黑体" w:cs="Arial"/>
                <w:b/>
                <w:sz w:val="72"/>
                <w:szCs w:val="72"/>
                <w:lang w:val="en-US" w:eastAsia="zh-CN"/>
              </w:rPr>
              <w:t>调研报告</w:t>
            </w:r>
          </w:p>
          <w:p>
            <w:pPr>
              <w:jc w:val="center"/>
              <w:rPr>
                <w:rFonts w:hint="eastAsia" w:ascii="黑体" w:hAnsi="Arial" w:eastAsia="黑体" w:cs="Arial"/>
                <w:b/>
                <w:sz w:val="72"/>
                <w:szCs w:val="72"/>
                <w:lang w:eastAsia="zh-CN"/>
              </w:rPr>
            </w:pPr>
            <w:r>
              <w:rPr>
                <w:rFonts w:hint="eastAsia" w:ascii="黑体" w:hAnsi="Arial" w:eastAsia="黑体" w:cs="Arial"/>
                <w:b/>
                <w:sz w:val="72"/>
                <w:szCs w:val="72"/>
              </w:rPr>
              <w:t>V</w:t>
            </w:r>
            <w:r>
              <w:rPr>
                <w:rFonts w:hint="eastAsia" w:ascii="黑体" w:hAnsi="Arial" w:eastAsia="黑体" w:cs="Arial"/>
                <w:b/>
                <w:sz w:val="72"/>
                <w:szCs w:val="72"/>
                <w:lang w:val="en-US" w:eastAsia="zh-CN"/>
              </w:rPr>
              <w:t>0</w:t>
            </w:r>
            <w:r>
              <w:rPr>
                <w:rFonts w:hint="eastAsia" w:ascii="黑体" w:hAnsi="Arial" w:eastAsia="黑体" w:cs="Arial"/>
                <w:b/>
                <w:sz w:val="72"/>
                <w:szCs w:val="72"/>
              </w:rPr>
              <w:t>.</w:t>
            </w:r>
            <w:r>
              <w:rPr>
                <w:rFonts w:hint="eastAsia" w:ascii="黑体" w:hAnsi="Arial" w:eastAsia="黑体" w:cs="Arial"/>
                <w:b/>
                <w:sz w:val="72"/>
                <w:szCs w:val="72"/>
                <w:lang w:val="en-US" w:eastAsia="zh-CN"/>
              </w:rPr>
              <w:t>1</w:t>
            </w: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</w:tc>
      </w:tr>
      <w:tr>
        <w:trPr>
          <w:trHeight w:val="870" w:hRule="atLeast"/>
          <w:jc w:val="center"/>
        </w:trPr>
        <w:tc>
          <w:tcPr>
            <w:tcW w:w="2880" w:type="dxa"/>
            <w:gridSpan w:val="2"/>
            <w:tcBorders>
              <w:top w:val="thickThinSmallGap" w:color="404040" w:sz="24" w:space="0"/>
              <w:bottom w:val="single" w:color="808080" w:sz="12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编写：</w:t>
            </w:r>
            <w:r>
              <w:rPr>
                <w:rFonts w:hint="eastAsia"/>
                <w:sz w:val="24"/>
                <w:lang w:val="en-US" w:eastAsia="zh-CN"/>
              </w:rPr>
              <w:t>付成珅</w:t>
            </w:r>
          </w:p>
        </w:tc>
        <w:tc>
          <w:tcPr>
            <w:tcW w:w="2880" w:type="dxa"/>
            <w:tcBorders>
              <w:top w:val="thickThinSmallGap" w:color="404040" w:sz="24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审核</w:t>
            </w:r>
            <w:r>
              <w:rPr>
                <w:sz w:val="24"/>
              </w:rPr>
              <w:t>：</w:t>
            </w:r>
          </w:p>
        </w:tc>
        <w:tc>
          <w:tcPr>
            <w:tcW w:w="2880" w:type="dxa"/>
            <w:gridSpan w:val="2"/>
            <w:tcBorders>
              <w:top w:val="thickThinSmallGap" w:color="404040" w:sz="24" w:space="0"/>
              <w:left w:val="single" w:color="808080" w:sz="12" w:space="0"/>
              <w:bottom w:val="single" w:color="808080" w:sz="12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批准：</w:t>
            </w:r>
          </w:p>
        </w:tc>
      </w:tr>
      <w:tr>
        <w:trPr>
          <w:trHeight w:val="950" w:hRule="atLeast"/>
          <w:jc w:val="center"/>
        </w:trPr>
        <w:tc>
          <w:tcPr>
            <w:tcW w:w="2880" w:type="dxa"/>
            <w:gridSpan w:val="2"/>
            <w:tcBorders>
              <w:top w:val="single" w:color="808080" w:sz="12" w:space="0"/>
              <w:bottom w:val="thinThickSmallGap" w:color="404040" w:sz="24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日期：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08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18</w:t>
            </w:r>
          </w:p>
        </w:tc>
        <w:tc>
          <w:tcPr>
            <w:tcW w:w="2880" w:type="dxa"/>
            <w:tcBorders>
              <w:top w:val="single" w:color="808080" w:sz="12" w:space="0"/>
              <w:left w:val="single" w:color="808080" w:sz="12" w:space="0"/>
              <w:bottom w:val="thinThickSmallGap" w:color="404040" w:sz="24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日期：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09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</w:p>
        </w:tc>
        <w:tc>
          <w:tcPr>
            <w:tcW w:w="2880" w:type="dxa"/>
            <w:gridSpan w:val="2"/>
            <w:tcBorders>
              <w:top w:val="single" w:color="808080" w:sz="12" w:space="0"/>
              <w:left w:val="single" w:color="808080" w:sz="12" w:space="0"/>
              <w:bottom w:val="thinThickSmallGap" w:color="404040" w:sz="24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日期：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变更记录</w:t>
      </w:r>
    </w:p>
    <w:tbl>
      <w:tblPr>
        <w:tblStyle w:val="10"/>
        <w:tblW w:w="9504" w:type="dxa"/>
        <w:jc w:val="center"/>
        <w:tblBorders>
          <w:top w:val="single" w:color="999999" w:sz="12" w:space="0"/>
          <w:left w:val="single" w:color="999999" w:sz="12" w:space="0"/>
          <w:bottom w:val="single" w:color="999999" w:sz="12" w:space="0"/>
          <w:right w:val="single" w:color="999999" w:sz="12" w:space="0"/>
          <w:insideH w:val="single" w:color="999999" w:sz="6" w:space="0"/>
          <w:insideV w:val="single" w:color="999999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2218"/>
        <w:gridCol w:w="1842"/>
        <w:gridCol w:w="1967"/>
        <w:gridCol w:w="1201"/>
        <w:gridCol w:w="1201"/>
      </w:tblGrid>
      <w:tr>
        <w:trPr>
          <w:trHeight w:val="397" w:hRule="atLeast"/>
          <w:jc w:val="center"/>
        </w:trPr>
        <w:tc>
          <w:tcPr>
            <w:tcW w:w="1075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版本</w:t>
            </w:r>
          </w:p>
        </w:tc>
        <w:tc>
          <w:tcPr>
            <w:tcW w:w="2218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文件内容描述</w:t>
            </w:r>
          </w:p>
        </w:tc>
        <w:tc>
          <w:tcPr>
            <w:tcW w:w="1842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日期</w:t>
            </w:r>
          </w:p>
        </w:tc>
        <w:tc>
          <w:tcPr>
            <w:tcW w:w="1967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编写</w:t>
            </w:r>
          </w:p>
        </w:tc>
        <w:tc>
          <w:tcPr>
            <w:tcW w:w="1201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审核</w:t>
            </w:r>
          </w:p>
        </w:tc>
        <w:tc>
          <w:tcPr>
            <w:tcW w:w="1201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批准</w:t>
            </w: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0.1</w:t>
            </w:r>
          </w:p>
        </w:tc>
        <w:tc>
          <w:tcPr>
            <w:tcW w:w="2218" w:type="dxa"/>
            <w:noWrap w:val="0"/>
            <w:vAlign w:val="center"/>
          </w:tcPr>
          <w:p>
            <w:pPr>
              <w:rPr>
                <w:rFonts w:hint="eastAsia" w:ascii="宋体" w:hAnsi="宋体" w:eastAsia="宋体" w:cs="Arial"/>
                <w:sz w:val="24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lang w:val="en-US" w:eastAsia="zh-CN"/>
              </w:rPr>
              <w:t>初稿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rPr>
                <w:rFonts w:hint="default" w:ascii="宋体" w:hAnsi="宋体" w:eastAsia="宋体" w:cs="Arial"/>
                <w:sz w:val="24"/>
                <w:lang w:val="en-US" w:eastAsia="zh-CN"/>
              </w:rPr>
            </w:pP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08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18</w:t>
            </w: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宋体" w:hAnsi="宋体" w:eastAsia="宋体" w:cs="Arial"/>
                <w:sz w:val="24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lang w:val="en-US" w:eastAsia="zh-CN"/>
              </w:rPr>
              <w:t>付成珅</w:t>
            </w: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</w:tbl>
    <w:p>
      <w:pPr>
        <w:rPr>
          <w:rFonts w:hint="eastAsia"/>
        </w:rPr>
      </w:pPr>
      <w:r>
        <w:rPr>
          <w:rFonts w:hint="eastAsia"/>
        </w:rPr>
        <w:br w:type="page"/>
      </w: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382743256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sz w:val="24"/>
              <w:szCs w:val="24"/>
            </w:rPr>
          </w:pPr>
          <w:r>
            <w:rPr>
              <w:rFonts w:ascii="宋体" w:hAnsi="宋体" w:eastAsia="宋体"/>
              <w:sz w:val="24"/>
              <w:szCs w:val="24"/>
            </w:rPr>
            <w:t>目录</w:t>
          </w:r>
        </w:p>
        <w:p>
          <w:pPr>
            <w:pStyle w:val="7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/>
              <w:sz w:val="24"/>
              <w:szCs w:val="24"/>
            </w:rPr>
            <w:fldChar w:fldCharType="begin"/>
          </w:r>
          <w:r>
            <w:rPr>
              <w:rFonts w:hint="eastAsia"/>
              <w:sz w:val="24"/>
              <w:szCs w:val="24"/>
            </w:rPr>
            <w:instrText xml:space="preserve">TOC \o "1-3" \h \u </w:instrText>
          </w:r>
          <w:r>
            <w:rPr>
              <w:rFonts w:hint="eastAsia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fldChar w:fldCharType="begin"/>
          </w:r>
          <w:r>
            <w:rPr>
              <w:rFonts w:hint="eastAsia"/>
              <w:sz w:val="24"/>
              <w:szCs w:val="24"/>
            </w:rPr>
            <w:instrText xml:space="preserve"> HYPERLINK \l _Toc1721973359 </w:instrText>
          </w:r>
          <w:r>
            <w:rPr>
              <w:rFonts w:hint="eastAsia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一、调研背景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_Toc1721973359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/>
              <w:sz w:val="24"/>
              <w:szCs w:val="24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/>
              <w:sz w:val="24"/>
              <w:szCs w:val="24"/>
            </w:rPr>
            <w:fldChar w:fldCharType="begin"/>
          </w:r>
          <w:r>
            <w:rPr>
              <w:rFonts w:hint="eastAsia"/>
              <w:sz w:val="24"/>
              <w:szCs w:val="24"/>
            </w:rPr>
            <w:instrText xml:space="preserve"> HYPERLINK \l _Toc1716617741 </w:instrText>
          </w:r>
          <w:r>
            <w:rPr>
              <w:rFonts w:hint="eastAsia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二、调研内容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_Toc1716617741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/>
              <w:sz w:val="24"/>
              <w:szCs w:val="2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/>
              <w:sz w:val="24"/>
              <w:szCs w:val="24"/>
            </w:rPr>
            <w:fldChar w:fldCharType="begin"/>
          </w:r>
          <w:r>
            <w:rPr>
              <w:rFonts w:hint="eastAsia"/>
              <w:sz w:val="24"/>
              <w:szCs w:val="24"/>
            </w:rPr>
            <w:instrText xml:space="preserve"> HYPERLINK \l _Toc1899059189 </w:instrText>
          </w:r>
          <w:r>
            <w:rPr>
              <w:rFonts w:hint="eastAsia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技术现状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_Toc1899059189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/>
              <w:sz w:val="24"/>
              <w:szCs w:val="2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/>
              <w:sz w:val="24"/>
              <w:szCs w:val="24"/>
            </w:rPr>
            <w:fldChar w:fldCharType="begin"/>
          </w:r>
          <w:r>
            <w:rPr>
              <w:rFonts w:hint="eastAsia"/>
              <w:sz w:val="24"/>
              <w:szCs w:val="24"/>
            </w:rPr>
            <w:instrText xml:space="preserve"> HYPERLINK \l _Toc1585827809 </w:instrText>
          </w:r>
          <w:r>
            <w:rPr>
              <w:rFonts w:hint="eastAsia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技术难点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_Toc1585827809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/>
              <w:sz w:val="24"/>
              <w:szCs w:val="2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/>
              <w:sz w:val="24"/>
              <w:szCs w:val="24"/>
            </w:rPr>
            <w:fldChar w:fldCharType="begin"/>
          </w:r>
          <w:r>
            <w:rPr>
              <w:rFonts w:hint="eastAsia"/>
              <w:sz w:val="24"/>
              <w:szCs w:val="24"/>
            </w:rPr>
            <w:instrText xml:space="preserve"> HYPERLINK \l _Toc588442946 </w:instrText>
          </w:r>
          <w:r>
            <w:rPr>
              <w:rFonts w:hint="eastAsia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未来趋势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_Toc588442946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/>
              <w:sz w:val="24"/>
              <w:szCs w:val="24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/>
              <w:sz w:val="24"/>
              <w:szCs w:val="24"/>
            </w:rPr>
            <w:fldChar w:fldCharType="begin"/>
          </w:r>
          <w:r>
            <w:rPr>
              <w:rFonts w:hint="eastAsia"/>
              <w:sz w:val="24"/>
              <w:szCs w:val="24"/>
            </w:rPr>
            <w:instrText xml:space="preserve"> HYPERLINK \l _Toc798398987 </w:instrText>
          </w:r>
          <w:r>
            <w:rPr>
              <w:rFonts w:hint="eastAsia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三、调研结论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_Toc798398987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/>
              <w:sz w:val="24"/>
              <w:szCs w:val="24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/>
              <w:sz w:val="24"/>
              <w:szCs w:val="24"/>
            </w:rPr>
            <w:fldChar w:fldCharType="begin"/>
          </w:r>
          <w:r>
            <w:rPr>
              <w:rFonts w:hint="eastAsia"/>
              <w:sz w:val="24"/>
              <w:szCs w:val="24"/>
            </w:rPr>
            <w:instrText xml:space="preserve"> HYPERLINK \l _Toc1213948053 </w:instrText>
          </w:r>
          <w:r>
            <w:rPr>
              <w:rFonts w:hint="eastAsia"/>
              <w:sz w:val="24"/>
              <w:szCs w:val="24"/>
            </w:rPr>
            <w:fldChar w:fldCharType="separate"/>
          </w:r>
          <w:r>
            <w:rPr>
              <w:rFonts w:hint="eastAsia"/>
              <w:sz w:val="24"/>
              <w:szCs w:val="24"/>
            </w:rPr>
            <w:t>四、建议与展望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_Toc1213948053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/>
              <w:sz w:val="24"/>
              <w:szCs w:val="24"/>
            </w:rPr>
            <w:fldChar w:fldCharType="end"/>
          </w:r>
        </w:p>
        <w:p>
          <w:pPr>
            <w:pStyle w:val="3"/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Autospacing="0" w:line="360" w:lineRule="auto"/>
            <w:textAlignment w:val="auto"/>
            <w:outlineLvl w:val="9"/>
            <w:rPr>
              <w:rFonts w:hint="eastAsia" w:ascii="宋体" w:hAnsi="宋体" w:eastAsia="宋体" w:cs="宋体"/>
              <w:b/>
              <w:bCs/>
              <w:kern w:val="0"/>
              <w:sz w:val="36"/>
              <w:szCs w:val="36"/>
              <w:lang w:val="en-US" w:eastAsia="zh-CN" w:bidi="ar"/>
            </w:rPr>
          </w:pPr>
          <w:r>
            <w:rPr>
              <w:rFonts w:hint="eastAsia"/>
              <w:sz w:val="24"/>
              <w:szCs w:val="24"/>
            </w:rPr>
            <w:fldChar w:fldCharType="end"/>
          </w:r>
        </w:p>
      </w:sdtContent>
    </w:sdt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rPr>
          <w:rFonts w:hint="eastAsia"/>
        </w:rPr>
      </w:pPr>
    </w:p>
    <w:p>
      <w:pPr>
        <w:pStyle w:val="2"/>
        <w:bidi w:val="0"/>
        <w:rPr>
          <w:rFonts w:hint="eastAsia"/>
        </w:rPr>
      </w:pPr>
      <w:bookmarkStart w:id="0" w:name="_Toc1721973359"/>
      <w:r>
        <w:rPr>
          <w:rFonts w:hint="eastAsia"/>
        </w:rPr>
        <w:t>一、调研背景</w:t>
      </w:r>
      <w:bookmarkEnd w:id="0"/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随着城市化进程的加速和城市轨道交通网络的不断拓展，地铁作为城市公共交通的重要组成部分，其运营效率和服务质量直接关系到市民的出行体验。精确的地铁定位技术不仅能够为乘客提供准确的导航服务，还能为地铁运营方提供实时的客流监测、故障预警等功能，对提升地铁系统的整体效能具有重要意义。因此，本次调研旨在深入了解当前地铁定位技术的发展现状、技术难点及未来趋势，为地铁定位算法的设计与实施提供参考依据。</w:t>
      </w:r>
    </w:p>
    <w:p>
      <w:pPr>
        <w:pStyle w:val="2"/>
        <w:bidi w:val="0"/>
        <w:rPr>
          <w:rFonts w:hint="eastAsia"/>
        </w:rPr>
      </w:pPr>
      <w:bookmarkStart w:id="1" w:name="_Toc1716617741"/>
      <w:r>
        <w:rPr>
          <w:rFonts w:hint="eastAsia"/>
        </w:rPr>
        <w:t>二、调研内容</w:t>
      </w:r>
      <w:bookmarkEnd w:id="1"/>
    </w:p>
    <w:p>
      <w:pPr>
        <w:pStyle w:val="3"/>
        <w:bidi w:val="0"/>
        <w:rPr>
          <w:rFonts w:hint="eastAsia"/>
        </w:rPr>
      </w:pPr>
      <w:bookmarkStart w:id="2" w:name="_Toc1899059189"/>
      <w:r>
        <w:rPr>
          <w:rFonts w:hint="eastAsia"/>
        </w:rPr>
        <w:t>技术现状</w:t>
      </w:r>
      <w:bookmarkEnd w:id="2"/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传统定位技术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：目前地铁定位主要采用GPS、北斗等卫星定位技术，但在地铁隧道等封闭环境中，卫星信号难以穿透，因此传统定位技术在地铁场景下的应用受到限制。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无线定位技术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：随着无线通信技术的发展，基于Wi-Fi、蓝牙、ZigBee等无线信号的定位技术逐渐成为地铁定位的新方向。这些技术通过收集环境中的无线信号特征，如信号强度、到达时间等，进行位置推算。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LTE定位技术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：LTE（Long Term Evolution）作为当前主流的移动通信技术，其话单数据中包含丰富的用户位置信息。通过解析LTE话单数据，可以获取用户与基站之间的相对距离和角度信息，进而实现定位。此外，结合大数据和机器学习算法，可以进一步提高LTE定位的精度和稳定性。</w:t>
      </w:r>
    </w:p>
    <w:p>
      <w:pPr>
        <w:pStyle w:val="3"/>
        <w:bidi w:val="0"/>
        <w:rPr>
          <w:rFonts w:hint="eastAsia"/>
        </w:rPr>
      </w:pPr>
      <w:bookmarkStart w:id="3" w:name="_Toc1585827809"/>
      <w:r>
        <w:rPr>
          <w:rFonts w:hint="eastAsia"/>
        </w:rPr>
        <w:t>技术难点</w:t>
      </w:r>
      <w:bookmarkEnd w:id="3"/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环境复杂性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：地铁隧道环境复杂多变，包括隧道结构、弯道、坡度等因素，对无线信号的传播产生较大影响，增加了定位的难度。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20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数据准确性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：LTE话单数据中的位置信息依赖于基站信号的强度和时延，但受环境、设备状态等多种因素影响，数据可能存在误差。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20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算法复杂度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：提高定位精度需要复杂的算法支持，包括距离计算、角度估计、数据融合等多个环节，对算法的性能和效率提出了较高要求。</w:t>
      </w:r>
    </w:p>
    <w:p>
      <w:pPr>
        <w:pStyle w:val="3"/>
        <w:bidi w:val="0"/>
        <w:rPr>
          <w:rFonts w:hint="eastAsia"/>
        </w:rPr>
      </w:pPr>
      <w:bookmarkStart w:id="4" w:name="_Toc588442946"/>
      <w:r>
        <w:rPr>
          <w:rFonts w:hint="eastAsia"/>
        </w:rPr>
        <w:t>未来趋势</w:t>
      </w:r>
      <w:bookmarkEnd w:id="4"/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多源数据融合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：未来地铁定位将更加注重多源数据的融合应用，如将LTE话单数据与Wi-Fi、蓝牙等其他无线信号数据相结合，以提高定位的准确性和可靠性。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人工智能与机器学习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：随着人工智能和机器学习技术的不断发展，这些技术将被广泛应用于地铁定位领域，通过不断优化算法模型，提高定位的智能化水平。</w:t>
      </w:r>
    </w:p>
    <w:p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360" w:lineRule="auto"/>
        <w:ind w:left="-342" w:leftChars="0" w:right="0" w:rightChars="0" w:firstLine="420" w:firstLineChars="0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室内地图与定位技术结合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：室内地图的完善将进一步提升地铁定位的精度和实用性。通过构建详细的室内地图，并将定位技术与地图数据相结合，可以为乘客提供更加精准的导航服务。</w:t>
      </w:r>
      <w:bookmarkStart w:id="7" w:name="_GoBack"/>
      <w:bookmarkEnd w:id="7"/>
    </w:p>
    <w:p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360" w:lineRule="auto"/>
        <w:ind w:left="-342" w:leftChars="0" w:right="0" w:rightChars="0" w:firstLine="420" w:firstLineChars="0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</w:p>
    <w:p>
      <w:pPr>
        <w:pStyle w:val="2"/>
        <w:bidi w:val="0"/>
        <w:rPr>
          <w:rFonts w:hint="eastAsia"/>
        </w:rPr>
      </w:pPr>
      <w:bookmarkStart w:id="5" w:name="_Toc798398987"/>
      <w:r>
        <w:rPr>
          <w:rFonts w:hint="eastAsia"/>
        </w:rPr>
        <w:t>三、调研结论</w:t>
      </w:r>
      <w:bookmarkEnd w:id="5"/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本次调研发现，地铁定位技术在提升地铁运营效率和服务质量方面具有重要作用。然而，由于地铁环境的复杂性和数据准确性的挑战，当前地铁定位技术仍存在一些技术难点。为了克服这些难点，未来地铁定位技术的发展趋势将侧重于多源数据融合、人工智能与机器学习的应用以及室内地图与定位技术的结合。通过这些技术手段的综合运用，有望实现对地铁内用户的精确、高效定位，为地铁系统的智能化管理提供有力支持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</w:p>
    <w:p>
      <w:pPr>
        <w:pStyle w:val="2"/>
        <w:bidi w:val="0"/>
        <w:rPr>
          <w:rFonts w:hint="eastAsia"/>
        </w:rPr>
      </w:pPr>
      <w:bookmarkStart w:id="6" w:name="_Toc1213948053"/>
      <w:r>
        <w:rPr>
          <w:rFonts w:hint="eastAsia"/>
        </w:rPr>
        <w:t>四、建议与展望</w:t>
      </w:r>
      <w:bookmarkEnd w:id="6"/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beforeAutospacing="0" w:after="0" w:afterAutospacing="0" w:line="360" w:lineRule="auto"/>
        <w:ind w:right="0" w:firstLine="420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基于本次调研的结论，我们提出以下建议与展望：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加强技术研发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：加大对地铁定位技术的研发投入，特别是在多源数据融合、算法优化等方面取得突破，以提高定位的精度和稳定性。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完善室内地图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：构建详细、准确的室内地图数据库，为地铁定位提供可靠的地图支持。同时，建立地图数据的动态更新机制，确保地图信息的实时性和准确性。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推动标准制定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：推动地铁定位技术的标准化工作，制定统一的技术规范和接口标准，促进不同系统之间的互联互通和数据共享。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12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加强应用推广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：积极推广地铁定位技术在地铁运营管理中的应用，通过实际案例展示其效果和价值，提高社会认可度和接受度。同时，加强与相关企业的合作与交流，共同推动地铁定位技术的创新与发展。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地铁室内定位算法</w:t>
    </w:r>
    <w:r>
      <w:rPr>
        <w:rFonts w:hint="eastAsia"/>
        <w:lang w:val="en-US" w:eastAsia="zh-CN"/>
      </w:rPr>
      <w:tab/>
    </w:r>
    <w:r>
      <w:rPr>
        <w:rFonts w:hint="eastAsia"/>
        <w:lang w:val="en-US" w:eastAsia="zh-CN"/>
      </w:rPr>
      <w:tab/>
    </w:r>
    <w:r>
      <w:rPr>
        <w:rFonts w:hint="eastAsia"/>
        <w:lang w:val="en-US" w:eastAsia="zh-CN"/>
      </w:rPr>
      <w:t>调研报告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FFED65"/>
    <w:rsid w:val="25972527"/>
    <w:rsid w:val="54FD4D22"/>
    <w:rsid w:val="63BFD755"/>
    <w:rsid w:val="6D7FE1DF"/>
    <w:rsid w:val="76FB5516"/>
    <w:rsid w:val="7D7FC2F8"/>
    <w:rsid w:val="7EADE5CE"/>
    <w:rsid w:val="7F736BD4"/>
    <w:rsid w:val="7FBF2863"/>
    <w:rsid w:val="92FF9A75"/>
    <w:rsid w:val="9FFFED65"/>
    <w:rsid w:val="BF7F7891"/>
    <w:rsid w:val="BFFF0171"/>
    <w:rsid w:val="E57BF6E3"/>
    <w:rsid w:val="EBC5A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uiPriority w:val="0"/>
  </w:style>
  <w:style w:type="paragraph" w:styleId="8">
    <w:name w:val="toc 2"/>
    <w:basedOn w:val="1"/>
    <w:next w:val="1"/>
    <w:uiPriority w:val="0"/>
    <w:pPr>
      <w:ind w:left="420" w:leftChars="200"/>
    </w:pPr>
  </w:style>
  <w:style w:type="paragraph" w:styleId="9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WPSOffice手动目录 2"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4">
    <w:name w:val="WPSOffice手动目录 1"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57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2024-09-24T18:55:00Z</dcterms:created>
  <dc:creator>WPS_1690879955</dc:creator>
  <cp:lastModifiedBy>WPS_1690879955</cp:lastModifiedBy>
  <dcterms:modified xsi:type="dcterms:W3CDTF">2024-10-22T12:13:16Z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E7358ECEF6DFBCADAED8F0666D771437_41</vt:lpwstr>
  </property>
</Properties>
</file>